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Registro de actividades de tratamiento</w:t>
      </w:r>
    </w:p>
    <w:p>
      <w:r>
        <w:rPr>
          <w:i/>
          <w:color w:val="62554B"/>
        </w:rPr>
        <w:t>Artículo 30 del Reglamento (UE) 2016/679 (RGPD). Actualizado a [fecha].</w:t>
      </w:r>
    </w:p>
    <w:p>
      <w:r>
        <w:rPr>
          <w:b w:val="0"/>
        </w:rPr>
        <w:t>Las entidades sin ánimo de lucro que tratan datos de forma habitual (censo de miembros, cuotas) deben llevar este registro aunque tengan menos de 250 trabajadores. Hay una tabla por cada actividad. Borrad las que no apliquen.</w:t>
      </w:r>
    </w:p>
    <w:p>
      <w:pPr>
        <w:pStyle w:val="Heading2"/>
      </w:pPr>
      <w:r>
        <w:t>Responsable del tratamiento</w:t>
      </w:r>
    </w:p>
    <w:tbl>
      <w:tblPr>
        <w:tblStyle w:val="TableGrid"/>
        <w:tblW w:type="auto" w:w="0"/>
        <w:jc w:val="center"/>
        <w:tblLayout w:type="fixed"/>
        <w:tblLook w:firstColumn="1" w:firstRow="1" w:lastColumn="0" w:lastRow="0" w:noHBand="0" w:noVBand="1" w:val="04A0"/>
      </w:tblPr>
      <w:tblGrid>
        <w:gridCol w:w="3118"/>
        <w:gridCol w:w="6236"/>
      </w:tblGrid>
      <w:tr>
        <w:tc>
          <w:tcPr>
            <w:tcW w:type="dxa" w:w="3118"/>
            <w:shd w:val="clear" w:color="auto" w:fill="F7F3EE"/>
          </w:tcPr>
          <w:p>
            <w:pPr>
              <w:spacing w:after="40"/>
            </w:pPr>
            <w:r>
              <w:rPr>
                <w:b/>
              </w:rPr>
              <w:t>Entidad</w:t>
            </w:r>
          </w:p>
        </w:tc>
        <w:tc>
          <w:tcPr>
            <w:tcW w:type="dxa" w:w="6236"/>
          </w:tcPr>
          <w:p>
            <w:pPr>
              <w:spacing w:after="40"/>
            </w:pPr>
            <w:r>
              <w:rPr>
                <w:b w:val="0"/>
                <w:highlight w:val="yellow"/>
              </w:rPr>
              <w:t>[Nombre de la entidad]</w:t>
            </w:r>
          </w:p>
        </w:tc>
      </w:tr>
      <w:tr>
        <w:tc>
          <w:tcPr>
            <w:tcW w:type="dxa" w:w="3118"/>
            <w:shd w:val="clear" w:color="auto" w:fill="F7F3EE"/>
          </w:tcPr>
          <w:p>
            <w:pPr>
              <w:spacing w:after="40"/>
            </w:pPr>
            <w:r>
              <w:rPr>
                <w:b/>
              </w:rPr>
              <w:t>NIF</w:t>
            </w:r>
          </w:p>
        </w:tc>
        <w:tc>
          <w:tcPr>
            <w:tcW w:type="dxa" w:w="6236"/>
          </w:tcPr>
          <w:p>
            <w:pPr>
              <w:spacing w:after="40"/>
            </w:pPr>
            <w:r>
              <w:rPr>
                <w:b w:val="0"/>
                <w:highlight w:val="yellow"/>
              </w:rPr>
              <w:t>[NIF]</w:t>
            </w:r>
          </w:p>
        </w:tc>
      </w:tr>
      <w:tr>
        <w:tc>
          <w:tcPr>
            <w:tcW w:type="dxa" w:w="3118"/>
            <w:shd w:val="clear" w:color="auto" w:fill="F7F3EE"/>
          </w:tcPr>
          <w:p>
            <w:pPr>
              <w:spacing w:after="40"/>
            </w:pPr>
            <w:r>
              <w:rPr>
                <w:b/>
              </w:rPr>
              <w:t>Domicilio</w:t>
            </w:r>
          </w:p>
        </w:tc>
        <w:tc>
          <w:tcPr>
            <w:tcW w:type="dxa" w:w="6236"/>
          </w:tcPr>
          <w:p>
            <w:pPr>
              <w:spacing w:after="40"/>
            </w:pPr>
            <w:r>
              <w:rPr>
                <w:b w:val="0"/>
                <w:highlight w:val="yellow"/>
              </w:rPr>
              <w:t>[Domicilio social]</w:t>
            </w:r>
          </w:p>
        </w:tc>
      </w:tr>
      <w:tr>
        <w:tc>
          <w:tcPr>
            <w:tcW w:type="dxa" w:w="3118"/>
            <w:shd w:val="clear" w:color="auto" w:fill="F7F3EE"/>
          </w:tcPr>
          <w:p>
            <w:pPr>
              <w:spacing w:after="40"/>
            </w:pPr>
            <w:r>
              <w:rPr>
                <w:b/>
              </w:rPr>
              <w:t>Contacto para protección de datos</w:t>
            </w:r>
          </w:p>
        </w:tc>
        <w:tc>
          <w:tcPr>
            <w:tcW w:type="dxa" w:w="6236"/>
          </w:tcPr>
          <w:p>
            <w:pPr>
              <w:spacing w:after="40"/>
            </w:pPr>
            <w:r>
              <w:rPr>
                <w:b w:val="0"/>
                <w:highlight w:val="yellow"/>
              </w:rPr>
              <w:t>[correo de la entidad]</w:t>
            </w:r>
            <w:r>
              <w:rPr>
                <w:b w:val="0"/>
              </w:rPr>
              <w:t xml:space="preserve"> · </w:t>
            </w:r>
            <w:r>
              <w:rPr>
                <w:b w:val="0"/>
                <w:highlight w:val="yellow"/>
              </w:rPr>
              <w:t>[cargo responsable, p. ej. Secretaría]</w:t>
            </w:r>
          </w:p>
        </w:tc>
      </w:tr>
      <w:tr>
        <w:tc>
          <w:tcPr>
            <w:tcW w:type="dxa" w:w="3118"/>
            <w:shd w:val="clear" w:color="auto" w:fill="F7F3EE"/>
          </w:tcPr>
          <w:p>
            <w:pPr>
              <w:spacing w:after="40"/>
            </w:pPr>
            <w:r>
              <w:rPr>
                <w:b/>
              </w:rPr>
              <w:t>Delegado de protección de datos</w:t>
            </w:r>
          </w:p>
        </w:tc>
        <w:tc>
          <w:tcPr>
            <w:tcW w:type="dxa" w:w="6236"/>
          </w:tcPr>
          <w:p>
            <w:pPr>
              <w:spacing w:after="40"/>
            </w:pPr>
            <w:r>
              <w:rPr>
                <w:b w:val="0"/>
              </w:rPr>
              <w:t xml:space="preserve">No designado (no obligatorio) / </w:t>
            </w:r>
            <w:r>
              <w:rPr>
                <w:b w:val="0"/>
                <w:highlight w:val="yellow"/>
              </w:rPr>
              <w:t>[nombre y contacto si se designa]</w:t>
            </w:r>
          </w:p>
        </w:tc>
      </w:tr>
    </w:tbl>
    <w:p/>
    <w:p>
      <w:pPr>
        <w:pStyle w:val="Heading3"/>
      </w:pPr>
      <w:r>
        <w:t>1. Gestión de miembros y cuotas</w:t>
      </w:r>
    </w:p>
    <w:tbl>
      <w:tblPr>
        <w:tblStyle w:val="TableGrid"/>
        <w:tblW w:type="auto" w:w="0"/>
        <w:jc w:val="center"/>
        <w:tblLayout w:type="fixed"/>
        <w:tblLook w:firstColumn="1" w:firstRow="1" w:lastColumn="0" w:lastRow="0" w:noHBand="0" w:noVBand="1" w:val="04A0"/>
      </w:tblPr>
      <w:tblGrid>
        <w:gridCol w:w="2551"/>
        <w:gridCol w:w="6803"/>
      </w:tblGrid>
      <w:tr>
        <w:tc>
          <w:tcPr>
            <w:tcW w:type="dxa" w:w="2551"/>
            <w:shd w:val="clear" w:color="auto" w:fill="F7F3EE"/>
          </w:tcPr>
          <w:p>
            <w:pPr>
              <w:spacing w:after="40"/>
            </w:pPr>
            <w:r>
              <w:rPr>
                <w:b/>
              </w:rPr>
              <w:t>Finalidad</w:t>
            </w:r>
          </w:p>
        </w:tc>
        <w:tc>
          <w:tcPr>
            <w:tcW w:type="dxa" w:w="6803"/>
          </w:tcPr>
          <w:p>
            <w:pPr>
              <w:spacing w:after="40"/>
            </w:pPr>
            <w:r>
              <w:rPr>
                <w:b w:val="0"/>
              </w:rPr>
              <w:t>Gestionar la pertenencia a la entidad, el censo, el cobro de cuotas y la convocatoria a asambleas o cabildos.</w:t>
            </w:r>
          </w:p>
        </w:tc>
      </w:tr>
      <w:tr>
        <w:tc>
          <w:tcPr>
            <w:tcW w:type="dxa" w:w="2551"/>
            <w:shd w:val="clear" w:color="auto" w:fill="F7F3EE"/>
          </w:tcPr>
          <w:p>
            <w:pPr>
              <w:spacing w:after="40"/>
            </w:pPr>
            <w:r>
              <w:rPr>
                <w:b/>
              </w:rPr>
              <w:t>Base jurídica</w:t>
            </w:r>
          </w:p>
        </w:tc>
        <w:tc>
          <w:tcPr>
            <w:tcW w:type="dxa" w:w="6803"/>
          </w:tcPr>
          <w:p>
            <w:pPr>
              <w:spacing w:after="40"/>
            </w:pPr>
            <w:r>
              <w:rPr>
                <w:b w:val="0"/>
              </w:rPr>
              <w:t xml:space="preserve">Relación de pertenencia y cumplimiento de los estatutos (art. 6.1.b RGPD). Obligaciones legales de la Ley Orgánica 1/2002 de Asociaciones y normativa fiscal (art. 6.1.c). </w:t>
            </w:r>
            <w:r>
              <w:rPr>
                <w:b w:val="0"/>
                <w:highlight w:val="yellow"/>
              </w:rPr>
              <w:t>[Hermandades: art. 9.2.d RGPD, datos de miembros de entidad religiosa que no se comunican fuera sin consentimiento.]</w:t>
            </w:r>
          </w:p>
        </w:tc>
      </w:tr>
      <w:tr>
        <w:tc>
          <w:tcPr>
            <w:tcW w:type="dxa" w:w="2551"/>
            <w:shd w:val="clear" w:color="auto" w:fill="F7F3EE"/>
          </w:tcPr>
          <w:p>
            <w:pPr>
              <w:spacing w:after="40"/>
            </w:pPr>
            <w:r>
              <w:rPr>
                <w:b/>
              </w:rPr>
              <w:t>Personas afectadas</w:t>
            </w:r>
          </w:p>
        </w:tc>
        <w:tc>
          <w:tcPr>
            <w:tcW w:type="dxa" w:w="6803"/>
          </w:tcPr>
          <w:p>
            <w:pPr>
              <w:spacing w:after="40"/>
            </w:pPr>
            <w:r>
              <w:rPr>
                <w:b w:val="0"/>
              </w:rPr>
              <w:t>Miembros, antiguos miembros, personas tutoras de miembros menores.</w:t>
            </w:r>
          </w:p>
        </w:tc>
      </w:tr>
      <w:tr>
        <w:tc>
          <w:tcPr>
            <w:tcW w:type="dxa" w:w="2551"/>
            <w:shd w:val="clear" w:color="auto" w:fill="F7F3EE"/>
          </w:tcPr>
          <w:p>
            <w:pPr>
              <w:spacing w:after="40"/>
            </w:pPr>
            <w:r>
              <w:rPr>
                <w:b/>
              </w:rPr>
              <w:t>Datos</w:t>
            </w:r>
          </w:p>
        </w:tc>
        <w:tc>
          <w:tcPr>
            <w:tcW w:type="dxa" w:w="6803"/>
          </w:tcPr>
          <w:p>
            <w:pPr>
              <w:spacing w:after="40"/>
            </w:pPr>
            <w:r>
              <w:rPr>
                <w:b w:val="0"/>
              </w:rPr>
              <w:t xml:space="preserve">Identificativos (nombre, DNI/NIE, dirección, email, teléfono), fecha de nacimiento, datos bancarios (IBAN), fecha de alta y baja, cuotas y pagos. </w:t>
            </w:r>
            <w:r>
              <w:rPr>
                <w:b w:val="0"/>
                <w:highlight w:val="yellow"/>
              </w:rPr>
              <w:t>[Datos propios del perfil: alumnado y curso, categoría deportiva, cargo…]</w:t>
            </w:r>
          </w:p>
        </w:tc>
      </w:tr>
      <w:tr>
        <w:tc>
          <w:tcPr>
            <w:tcW w:type="dxa" w:w="2551"/>
            <w:shd w:val="clear" w:color="auto" w:fill="F7F3EE"/>
          </w:tcPr>
          <w:p>
            <w:pPr>
              <w:spacing w:after="40"/>
            </w:pPr>
            <w:r>
              <w:rPr>
                <w:b/>
              </w:rPr>
              <w:t>Destinatarios</w:t>
            </w:r>
          </w:p>
        </w:tc>
        <w:tc>
          <w:tcPr>
            <w:tcW w:type="dxa" w:w="6803"/>
          </w:tcPr>
          <w:p>
            <w:pPr>
              <w:spacing w:after="40"/>
            </w:pPr>
            <w:r>
              <w:rPr>
                <w:b w:val="0"/>
              </w:rPr>
              <w:t xml:space="preserve">Entidad bancaria para el cobro de recibos. </w:t>
            </w:r>
            <w:r>
              <w:rPr>
                <w:b w:val="0"/>
                <w:highlight w:val="yellow"/>
              </w:rPr>
              <w:t>[Federación / aseguradora / Administraciones públicas cuando lo exija la ley.]</w:t>
            </w:r>
            <w:r>
              <w:rPr>
                <w:b w:val="0"/>
              </w:rPr>
              <w:t xml:space="preserve"> No se ceden a otros terceros.</w:t>
            </w:r>
          </w:p>
        </w:tc>
      </w:tr>
      <w:tr>
        <w:tc>
          <w:tcPr>
            <w:tcW w:type="dxa" w:w="2551"/>
            <w:shd w:val="clear" w:color="auto" w:fill="F7F3EE"/>
          </w:tcPr>
          <w:p>
            <w:pPr>
              <w:spacing w:after="40"/>
            </w:pPr>
            <w:r>
              <w:rPr>
                <w:b/>
              </w:rPr>
              <w:t>Transferencias internacionales</w:t>
            </w:r>
          </w:p>
        </w:tc>
        <w:tc>
          <w:tcPr>
            <w:tcW w:type="dxa" w:w="6803"/>
          </w:tcPr>
          <w:p>
            <w:pPr>
              <w:spacing w:after="40"/>
            </w:pPr>
            <w:r>
              <w:rPr>
                <w:b w:val="0"/>
              </w:rPr>
              <w:t xml:space="preserve">No se realizan. </w:t>
            </w:r>
            <w:r>
              <w:rPr>
                <w:b w:val="0"/>
                <w:highlight w:val="yellow"/>
              </w:rPr>
              <w:t>[Revisad si usáis una nube fuera del Espacio Económico Europeo.]</w:t>
            </w:r>
          </w:p>
        </w:tc>
      </w:tr>
      <w:tr>
        <w:tc>
          <w:tcPr>
            <w:tcW w:type="dxa" w:w="2551"/>
            <w:shd w:val="clear" w:color="auto" w:fill="F7F3EE"/>
          </w:tcPr>
          <w:p>
            <w:pPr>
              <w:spacing w:after="40"/>
            </w:pPr>
            <w:r>
              <w:rPr>
                <w:b/>
              </w:rPr>
              <w:t>Plazo de supresión</w:t>
            </w:r>
          </w:p>
        </w:tc>
        <w:tc>
          <w:tcPr>
            <w:tcW w:type="dxa" w:w="6803"/>
          </w:tcPr>
          <w:p>
            <w:pPr>
              <w:spacing w:after="40"/>
            </w:pPr>
            <w:r>
              <w:rPr>
                <w:b w:val="0"/>
              </w:rPr>
              <w:t>Durante la pertenencia. Tras la baja, los datos económicos se conservan bloqueados durante los plazos de prescripción (con carácter orientativo, 4 años para obligaciones fiscales y 6 para documentación contable) y después se suprimen.</w:t>
            </w:r>
          </w:p>
        </w:tc>
      </w:tr>
      <w:tr>
        <w:tc>
          <w:tcPr>
            <w:tcW w:type="dxa" w:w="2551"/>
            <w:shd w:val="clear" w:color="auto" w:fill="F7F3EE"/>
          </w:tcPr>
          <w:p>
            <w:pPr>
              <w:spacing w:after="40"/>
            </w:pPr>
            <w:r>
              <w:rPr>
                <w:b/>
              </w:rPr>
              <w:t>Medidas de seguridad</w:t>
            </w:r>
          </w:p>
        </w:tc>
        <w:tc>
          <w:tcPr>
            <w:tcW w:type="dxa" w:w="6803"/>
          </w:tcPr>
          <w:p>
            <w:pPr>
              <w:spacing w:after="40"/>
            </w:pPr>
            <w:r>
              <w:rPr>
                <w:b w:val="0"/>
              </w:rPr>
              <w:t xml:space="preserve">Programa Alcancía con cifrado AES-256 y contraseña. Copias cifradas semanales. Acceso solo de </w:t>
            </w:r>
            <w:r>
              <w:rPr>
                <w:b w:val="0"/>
                <w:highlight w:val="yellow"/>
              </w:rPr>
              <w:t>[cargos con acceso]</w:t>
            </w:r>
            <w:r>
              <w:rPr>
                <w:b w:val="0"/>
              </w:rPr>
              <w:t>. Bloqueo automático por inactividad. Ver protocolo de seguridad.</w:t>
            </w:r>
          </w:p>
        </w:tc>
      </w:tr>
    </w:tbl>
    <w:p/>
    <w:p>
      <w:pPr>
        <w:pStyle w:val="Heading3"/>
      </w:pPr>
      <w:r>
        <w:t>2. Comunicaciones e información</w:t>
      </w:r>
    </w:p>
    <w:tbl>
      <w:tblPr>
        <w:tblStyle w:val="TableGrid"/>
        <w:tblW w:type="auto" w:w="0"/>
        <w:jc w:val="center"/>
        <w:tblLayout w:type="fixed"/>
        <w:tblLook w:firstColumn="1" w:firstRow="1" w:lastColumn="0" w:lastRow="0" w:noHBand="0" w:noVBand="1" w:val="04A0"/>
      </w:tblPr>
      <w:tblGrid>
        <w:gridCol w:w="2551"/>
        <w:gridCol w:w="6803"/>
      </w:tblGrid>
      <w:tr>
        <w:tc>
          <w:tcPr>
            <w:tcW w:type="dxa" w:w="2551"/>
            <w:shd w:val="clear" w:color="auto" w:fill="F7F3EE"/>
          </w:tcPr>
          <w:p>
            <w:pPr>
              <w:spacing w:after="40"/>
            </w:pPr>
            <w:r>
              <w:rPr>
                <w:b/>
              </w:rPr>
              <w:t>Finalidad</w:t>
            </w:r>
          </w:p>
        </w:tc>
        <w:tc>
          <w:tcPr>
            <w:tcW w:type="dxa" w:w="6803"/>
          </w:tcPr>
          <w:p>
            <w:pPr>
              <w:spacing w:after="40"/>
            </w:pPr>
            <w:r>
              <w:rPr>
                <w:b w:val="0"/>
              </w:rPr>
              <w:t>Enviar convocatorias, avisos de actividades y boletines informativos.</w:t>
            </w:r>
          </w:p>
        </w:tc>
      </w:tr>
      <w:tr>
        <w:tc>
          <w:tcPr>
            <w:tcW w:type="dxa" w:w="2551"/>
            <w:shd w:val="clear" w:color="auto" w:fill="F7F3EE"/>
          </w:tcPr>
          <w:p>
            <w:pPr>
              <w:spacing w:after="40"/>
            </w:pPr>
            <w:r>
              <w:rPr>
                <w:b/>
              </w:rPr>
              <w:t>Base jurídica</w:t>
            </w:r>
          </w:p>
        </w:tc>
        <w:tc>
          <w:tcPr>
            <w:tcW w:type="dxa" w:w="6803"/>
          </w:tcPr>
          <w:p>
            <w:pPr>
              <w:spacing w:after="40"/>
            </w:pPr>
            <w:r>
              <w:rPr>
                <w:b w:val="0"/>
              </w:rPr>
              <w:t>Convocatorias: relación de pertenencia (art. 6.1.b). Boletines y avisos no imprescindibles: consentimiento (art. 6.1.a).</w:t>
            </w:r>
          </w:p>
        </w:tc>
      </w:tr>
      <w:tr>
        <w:tc>
          <w:tcPr>
            <w:tcW w:type="dxa" w:w="2551"/>
            <w:shd w:val="clear" w:color="auto" w:fill="F7F3EE"/>
          </w:tcPr>
          <w:p>
            <w:pPr>
              <w:spacing w:after="40"/>
            </w:pPr>
            <w:r>
              <w:rPr>
                <w:b/>
              </w:rPr>
              <w:t>Personas afectadas</w:t>
            </w:r>
          </w:p>
        </w:tc>
        <w:tc>
          <w:tcPr>
            <w:tcW w:type="dxa" w:w="6803"/>
          </w:tcPr>
          <w:p>
            <w:pPr>
              <w:spacing w:after="40"/>
            </w:pPr>
            <w:r>
              <w:rPr>
                <w:b w:val="0"/>
              </w:rPr>
              <w:t>Miembros y personas tutoras.</w:t>
            </w:r>
          </w:p>
        </w:tc>
      </w:tr>
      <w:tr>
        <w:tc>
          <w:tcPr>
            <w:tcW w:type="dxa" w:w="2551"/>
            <w:shd w:val="clear" w:color="auto" w:fill="F7F3EE"/>
          </w:tcPr>
          <w:p>
            <w:pPr>
              <w:spacing w:after="40"/>
            </w:pPr>
            <w:r>
              <w:rPr>
                <w:b/>
              </w:rPr>
              <w:t>Datos</w:t>
            </w:r>
          </w:p>
        </w:tc>
        <w:tc>
          <w:tcPr>
            <w:tcW w:type="dxa" w:w="6803"/>
          </w:tcPr>
          <w:p>
            <w:pPr>
              <w:spacing w:after="40"/>
            </w:pPr>
            <w:r>
              <w:rPr>
                <w:b w:val="0"/>
              </w:rPr>
              <w:t>Nombre, email, teléfono.</w:t>
            </w:r>
          </w:p>
        </w:tc>
      </w:tr>
      <w:tr>
        <w:tc>
          <w:tcPr>
            <w:tcW w:type="dxa" w:w="2551"/>
            <w:shd w:val="clear" w:color="auto" w:fill="F7F3EE"/>
          </w:tcPr>
          <w:p>
            <w:pPr>
              <w:spacing w:after="40"/>
            </w:pPr>
            <w:r>
              <w:rPr>
                <w:b/>
              </w:rPr>
              <w:t>Destinatarios</w:t>
            </w:r>
          </w:p>
        </w:tc>
        <w:tc>
          <w:tcPr>
            <w:tcW w:type="dxa" w:w="6803"/>
          </w:tcPr>
          <w:p>
            <w:pPr>
              <w:spacing w:after="40"/>
            </w:pPr>
            <w:r>
              <w:rPr>
                <w:b w:val="0"/>
              </w:rPr>
              <w:t xml:space="preserve">No se ceden. </w:t>
            </w:r>
            <w:r>
              <w:rPr>
                <w:b w:val="0"/>
                <w:highlight w:val="yellow"/>
              </w:rPr>
              <w:t>[Indicad el servicio de correo o mensajería que uséis.]</w:t>
            </w:r>
          </w:p>
        </w:tc>
      </w:tr>
      <w:tr>
        <w:tc>
          <w:tcPr>
            <w:tcW w:type="dxa" w:w="2551"/>
            <w:shd w:val="clear" w:color="auto" w:fill="F7F3EE"/>
          </w:tcPr>
          <w:p>
            <w:pPr>
              <w:spacing w:after="40"/>
            </w:pPr>
            <w:r>
              <w:rPr>
                <w:b/>
              </w:rPr>
              <w:t>Transferencias internacionales</w:t>
            </w:r>
          </w:p>
        </w:tc>
        <w:tc>
          <w:tcPr>
            <w:tcW w:type="dxa" w:w="6803"/>
          </w:tcPr>
          <w:p>
            <w:pPr>
              <w:spacing w:after="40"/>
            </w:pPr>
            <w:r>
              <w:rPr>
                <w:b w:val="0"/>
                <w:highlight w:val="yellow"/>
              </w:rPr>
              <w:t>[No / indicad cuáles y garantía aplicable]</w:t>
            </w:r>
          </w:p>
        </w:tc>
      </w:tr>
      <w:tr>
        <w:tc>
          <w:tcPr>
            <w:tcW w:type="dxa" w:w="2551"/>
            <w:shd w:val="clear" w:color="auto" w:fill="F7F3EE"/>
          </w:tcPr>
          <w:p>
            <w:pPr>
              <w:spacing w:after="40"/>
            </w:pPr>
            <w:r>
              <w:rPr>
                <w:b/>
              </w:rPr>
              <w:t>Plazo de supresión</w:t>
            </w:r>
          </w:p>
        </w:tc>
        <w:tc>
          <w:tcPr>
            <w:tcW w:type="dxa" w:w="6803"/>
          </w:tcPr>
          <w:p>
            <w:pPr>
              <w:spacing w:after="40"/>
            </w:pPr>
            <w:r>
              <w:rPr>
                <w:b w:val="0"/>
              </w:rPr>
              <w:t>Hasta la baja o la retirada del consentimiento.</w:t>
            </w:r>
          </w:p>
        </w:tc>
      </w:tr>
      <w:tr>
        <w:tc>
          <w:tcPr>
            <w:tcW w:type="dxa" w:w="2551"/>
            <w:shd w:val="clear" w:color="auto" w:fill="F7F3EE"/>
          </w:tcPr>
          <w:p>
            <w:pPr>
              <w:spacing w:after="40"/>
            </w:pPr>
            <w:r>
              <w:rPr>
                <w:b/>
              </w:rPr>
              <w:t>Medidas de seguridad</w:t>
            </w:r>
          </w:p>
        </w:tc>
        <w:tc>
          <w:tcPr>
            <w:tcW w:type="dxa" w:w="6803"/>
          </w:tcPr>
          <w:p>
            <w:pPr>
              <w:spacing w:after="40"/>
            </w:pPr>
            <w:r>
              <w:rPr>
                <w:b w:val="0"/>
              </w:rPr>
              <w:t>Envíos siempre en copia oculta. Listas generadas desde Alcancía respetando consentimientos.</w:t>
            </w:r>
          </w:p>
        </w:tc>
      </w:tr>
    </w:tbl>
    <w:p/>
    <w:p>
      <w:pPr>
        <w:pStyle w:val="Heading3"/>
      </w:pPr>
      <w:r>
        <w:t>3. Imágenes de actividades</w:t>
      </w:r>
    </w:p>
    <w:tbl>
      <w:tblPr>
        <w:tblStyle w:val="TableGrid"/>
        <w:tblW w:type="auto" w:w="0"/>
        <w:jc w:val="center"/>
        <w:tblLayout w:type="fixed"/>
        <w:tblLook w:firstColumn="1" w:firstRow="1" w:lastColumn="0" w:lastRow="0" w:noHBand="0" w:noVBand="1" w:val="04A0"/>
      </w:tblPr>
      <w:tblGrid>
        <w:gridCol w:w="2551"/>
        <w:gridCol w:w="6803"/>
      </w:tblGrid>
      <w:tr>
        <w:tc>
          <w:tcPr>
            <w:tcW w:type="dxa" w:w="2551"/>
            <w:shd w:val="clear" w:color="auto" w:fill="F7F3EE"/>
          </w:tcPr>
          <w:p>
            <w:pPr>
              <w:spacing w:after="40"/>
            </w:pPr>
            <w:r>
              <w:rPr>
                <w:b/>
              </w:rPr>
              <w:t>Finalidad</w:t>
            </w:r>
          </w:p>
        </w:tc>
        <w:tc>
          <w:tcPr>
            <w:tcW w:type="dxa" w:w="6803"/>
          </w:tcPr>
          <w:p>
            <w:pPr>
              <w:spacing w:after="40"/>
            </w:pPr>
            <w:r>
              <w:rPr>
                <w:b w:val="0"/>
              </w:rPr>
              <w:t xml:space="preserve">Difundir las actividades de la entidad en </w:t>
            </w:r>
            <w:r>
              <w:rPr>
                <w:b w:val="0"/>
                <w:highlight w:val="yellow"/>
              </w:rPr>
              <w:t>[web, redes sociales, revista, memoria anual]</w:t>
            </w:r>
            <w:r>
              <w:rPr>
                <w:b w:val="0"/>
              </w:rPr>
              <w:t>.</w:t>
            </w:r>
          </w:p>
        </w:tc>
      </w:tr>
      <w:tr>
        <w:tc>
          <w:tcPr>
            <w:tcW w:type="dxa" w:w="2551"/>
            <w:shd w:val="clear" w:color="auto" w:fill="F7F3EE"/>
          </w:tcPr>
          <w:p>
            <w:pPr>
              <w:spacing w:after="40"/>
            </w:pPr>
            <w:r>
              <w:rPr>
                <w:b/>
              </w:rPr>
              <w:t>Base jurídica</w:t>
            </w:r>
          </w:p>
        </w:tc>
        <w:tc>
          <w:tcPr>
            <w:tcW w:type="dxa" w:w="6803"/>
          </w:tcPr>
          <w:p>
            <w:pPr>
              <w:spacing w:after="40"/>
            </w:pPr>
            <w:r>
              <w:rPr>
                <w:b w:val="0"/>
              </w:rPr>
              <w:t>Consentimiento (art. 6.1.a RGPD; LO 1/1982). Menores de 14 años: consentimiento de quien ejerce la patria potestad o tutela (art. 7 LOPDGDD).</w:t>
            </w:r>
          </w:p>
        </w:tc>
      </w:tr>
      <w:tr>
        <w:tc>
          <w:tcPr>
            <w:tcW w:type="dxa" w:w="2551"/>
            <w:shd w:val="clear" w:color="auto" w:fill="F7F3EE"/>
          </w:tcPr>
          <w:p>
            <w:pPr>
              <w:spacing w:after="40"/>
            </w:pPr>
            <w:r>
              <w:rPr>
                <w:b/>
              </w:rPr>
              <w:t>Personas afectadas</w:t>
            </w:r>
          </w:p>
        </w:tc>
        <w:tc>
          <w:tcPr>
            <w:tcW w:type="dxa" w:w="6803"/>
          </w:tcPr>
          <w:p>
            <w:pPr>
              <w:spacing w:after="40"/>
            </w:pPr>
            <w:r>
              <w:rPr>
                <w:b w:val="0"/>
              </w:rPr>
              <w:t>Miembros, participantes y personas asistentes.</w:t>
            </w:r>
          </w:p>
        </w:tc>
      </w:tr>
      <w:tr>
        <w:tc>
          <w:tcPr>
            <w:tcW w:type="dxa" w:w="2551"/>
            <w:shd w:val="clear" w:color="auto" w:fill="F7F3EE"/>
          </w:tcPr>
          <w:p>
            <w:pPr>
              <w:spacing w:after="40"/>
            </w:pPr>
            <w:r>
              <w:rPr>
                <w:b/>
              </w:rPr>
              <w:t>Datos</w:t>
            </w:r>
          </w:p>
        </w:tc>
        <w:tc>
          <w:tcPr>
            <w:tcW w:type="dxa" w:w="6803"/>
          </w:tcPr>
          <w:p>
            <w:pPr>
              <w:spacing w:after="40"/>
            </w:pPr>
            <w:r>
              <w:rPr>
                <w:b w:val="0"/>
              </w:rPr>
              <w:t>Imagen y voz.</w:t>
            </w:r>
          </w:p>
        </w:tc>
      </w:tr>
      <w:tr>
        <w:tc>
          <w:tcPr>
            <w:tcW w:type="dxa" w:w="2551"/>
            <w:shd w:val="clear" w:color="auto" w:fill="F7F3EE"/>
          </w:tcPr>
          <w:p>
            <w:pPr>
              <w:spacing w:after="40"/>
            </w:pPr>
            <w:r>
              <w:rPr>
                <w:b/>
              </w:rPr>
              <w:t>Destinatarios</w:t>
            </w:r>
          </w:p>
        </w:tc>
        <w:tc>
          <w:tcPr>
            <w:tcW w:type="dxa" w:w="6803"/>
          </w:tcPr>
          <w:p>
            <w:pPr>
              <w:spacing w:after="40"/>
            </w:pPr>
            <w:r>
              <w:rPr>
                <w:b w:val="0"/>
              </w:rPr>
              <w:t>Público en general a través de los medios indicados.</w:t>
            </w:r>
          </w:p>
        </w:tc>
      </w:tr>
      <w:tr>
        <w:tc>
          <w:tcPr>
            <w:tcW w:type="dxa" w:w="2551"/>
            <w:shd w:val="clear" w:color="auto" w:fill="F7F3EE"/>
          </w:tcPr>
          <w:p>
            <w:pPr>
              <w:spacing w:after="40"/>
            </w:pPr>
            <w:r>
              <w:rPr>
                <w:b/>
              </w:rPr>
              <w:t>Transferencias internacionales</w:t>
            </w:r>
          </w:p>
        </w:tc>
        <w:tc>
          <w:tcPr>
            <w:tcW w:type="dxa" w:w="6803"/>
          </w:tcPr>
          <w:p>
            <w:pPr>
              <w:spacing w:after="40"/>
            </w:pPr>
            <w:r>
              <w:rPr>
                <w:b w:val="0"/>
                <w:highlight w:val="yellow"/>
              </w:rPr>
              <w:t>[Las redes sociales pueden implicarlas; indicadlo.]</w:t>
            </w:r>
          </w:p>
        </w:tc>
      </w:tr>
      <w:tr>
        <w:tc>
          <w:tcPr>
            <w:tcW w:type="dxa" w:w="2551"/>
            <w:shd w:val="clear" w:color="auto" w:fill="F7F3EE"/>
          </w:tcPr>
          <w:p>
            <w:pPr>
              <w:spacing w:after="40"/>
            </w:pPr>
            <w:r>
              <w:rPr>
                <w:b/>
              </w:rPr>
              <w:t>Plazo de supresión</w:t>
            </w:r>
          </w:p>
        </w:tc>
        <w:tc>
          <w:tcPr>
            <w:tcW w:type="dxa" w:w="6803"/>
          </w:tcPr>
          <w:p>
            <w:pPr>
              <w:spacing w:after="40"/>
            </w:pPr>
            <w:r>
              <w:rPr>
                <w:b w:val="0"/>
              </w:rPr>
              <w:t xml:space="preserve">Hasta la retirada del consentimiento. Archivo histórico de la entidad: </w:t>
            </w:r>
            <w:r>
              <w:rPr>
                <w:b w:val="0"/>
                <w:highlight w:val="yellow"/>
              </w:rPr>
              <w:t>[criterio]</w:t>
            </w:r>
            <w:r>
              <w:rPr>
                <w:b w:val="0"/>
              </w:rPr>
              <w:t>.</w:t>
            </w:r>
          </w:p>
        </w:tc>
      </w:tr>
      <w:tr>
        <w:tc>
          <w:tcPr>
            <w:tcW w:type="dxa" w:w="2551"/>
            <w:shd w:val="clear" w:color="auto" w:fill="F7F3EE"/>
          </w:tcPr>
          <w:p>
            <w:pPr>
              <w:spacing w:after="40"/>
            </w:pPr>
            <w:r>
              <w:rPr>
                <w:b/>
              </w:rPr>
              <w:t>Medidas de seguridad</w:t>
            </w:r>
          </w:p>
        </w:tc>
        <w:tc>
          <w:tcPr>
            <w:tcW w:type="dxa" w:w="6803"/>
          </w:tcPr>
          <w:p>
            <w:pPr>
              <w:spacing w:after="40"/>
            </w:pPr>
            <w:r>
              <w:rPr>
                <w:b w:val="0"/>
              </w:rPr>
              <w:t>Archivo de autorizaciones firmado. Se evita publicar imágenes de menores identificables sin autorización.</w:t>
            </w:r>
          </w:p>
        </w:tc>
      </w:tr>
    </w:tbl>
    <w:p/>
    <w:p>
      <w:pPr>
        <w:pStyle w:val="Heading2"/>
      </w:pPr>
      <w:r>
        <w:t>Historial de cambios</w:t>
      </w:r>
    </w:p>
    <w:tbl>
      <w:tblPr>
        <w:tblStyle w:val="TableGrid"/>
        <w:tblW w:type="auto" w:w="0"/>
        <w:jc w:val="center"/>
        <w:tblLayout w:type="fixed"/>
        <w:tblLook w:firstColumn="1" w:firstRow="1" w:lastColumn="0" w:lastRow="0" w:noHBand="0" w:noVBand="1" w:val="04A0"/>
      </w:tblPr>
      <w:tblGrid>
        <w:gridCol w:w="1701"/>
        <w:gridCol w:w="5386"/>
        <w:gridCol w:w="2268"/>
      </w:tblGrid>
      <w:tr>
        <w:tc>
          <w:tcPr>
            <w:tcW w:type="dxa" w:w="1701"/>
            <w:shd w:val="clear" w:color="auto" w:fill="F8E8E0"/>
          </w:tcPr>
          <w:p>
            <w:pPr>
              <w:spacing w:after="40"/>
            </w:pPr>
            <w:r>
              <w:rPr>
                <w:b/>
              </w:rPr>
              <w:t>Fecha</w:t>
            </w:r>
          </w:p>
        </w:tc>
        <w:tc>
          <w:tcPr>
            <w:tcW w:type="dxa" w:w="5386"/>
            <w:shd w:val="clear" w:color="auto" w:fill="F8E8E0"/>
          </w:tcPr>
          <w:p>
            <w:pPr>
              <w:spacing w:after="40"/>
            </w:pPr>
            <w:r>
              <w:rPr>
                <w:b/>
              </w:rPr>
              <w:t>Cambio</w:t>
            </w:r>
          </w:p>
        </w:tc>
        <w:tc>
          <w:tcPr>
            <w:tcW w:type="dxa" w:w="2268"/>
            <w:shd w:val="clear" w:color="auto" w:fill="F8E8E0"/>
          </w:tcPr>
          <w:p>
            <w:pPr>
              <w:spacing w:after="40"/>
            </w:pPr>
            <w:r>
              <w:rPr>
                <w:b/>
              </w:rPr>
              <w:t>Aprobado por</w:t>
            </w:r>
          </w:p>
        </w:tc>
      </w:tr>
      <w:tr>
        <w:tc>
          <w:tcPr>
            <w:tcW w:type="dxa" w:w="1701"/>
          </w:tcPr>
          <w:p>
            <w:pPr>
              <w:spacing w:after="40"/>
            </w:pPr>
            <w:r>
              <w:rPr>
                <w:b w:val="0"/>
                <w:highlight w:val="yellow"/>
              </w:rPr>
              <w:t>[fecha]</w:t>
            </w:r>
          </w:p>
        </w:tc>
        <w:tc>
          <w:tcPr>
            <w:tcW w:type="dxa" w:w="5386"/>
          </w:tcPr>
          <w:p>
            <w:pPr>
              <w:spacing w:after="40"/>
            </w:pPr>
            <w:r>
              <w:rPr>
                <w:b w:val="0"/>
              </w:rPr>
              <w:t>Versión inicial</w:t>
            </w:r>
          </w:p>
        </w:tc>
        <w:tc>
          <w:tcPr>
            <w:tcW w:type="dxa" w:w="2268"/>
          </w:tcPr>
          <w:p>
            <w:pPr>
              <w:spacing w:after="40"/>
            </w:pPr>
            <w:r>
              <w:rPr>
                <w:b w:val="0"/>
                <w:highlight w:val="yellow"/>
              </w:rPr>
              <w:t>[Junta directiva]</w:t>
            </w:r>
          </w:p>
        </w:tc>
      </w:tr>
      <w:tr>
        <w:tc>
          <w:tcPr>
            <w:tcW w:type="dxa" w:w="1701"/>
          </w:tcPr>
          <w:p>
            <w:pPr>
              <w:spacing w:after="40"/>
            </w:pPr>
          </w:p>
        </w:tc>
        <w:tc>
          <w:tcPr>
            <w:tcW w:type="dxa" w:w="5386"/>
          </w:tcPr>
          <w:p>
            <w:pPr>
              <w:spacing w:after="40"/>
            </w:pPr>
          </w:p>
        </w:tc>
        <w:tc>
          <w:tcPr>
            <w:tcW w:type="dxa" w:w="2268"/>
          </w:tcPr>
          <w:p>
            <w:pPr>
              <w:spacing w:after="40"/>
            </w:pPr>
          </w:p>
        </w:tc>
      </w:tr>
    </w:tbl>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890"/>
        <w:sz w:val="16"/>
      </w:rPr>
      <w:t>Plantilla orientativa del kit de protección de datos de Alcancía · Revisad y adaptad antes de usar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Calibri" w:hAnsi="Calibri"/>
      <w:b/>
      <w:bCs/>
      <w:color w:val="A8432A"/>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A8432A"/>
      <w:sz w:val="25"/>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Calibri" w:hAnsi="Calibri"/>
      <w:b/>
      <w:bCs/>
      <w:color w:val="A8432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